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FF2" w:rsidRPr="00604545" w:rsidRDefault="00B04FF2" w:rsidP="00B04FF2">
      <w:pPr>
        <w:rPr>
          <w:sz w:val="24"/>
          <w:szCs w:val="24"/>
        </w:rPr>
      </w:pPr>
      <w:r w:rsidRPr="00604545">
        <w:rPr>
          <w:sz w:val="24"/>
          <w:szCs w:val="24"/>
        </w:rPr>
        <w:t xml:space="preserve">With the given data, what additional data would you ask and additional analysis would you recommend to assess UPSs superior profitability to </w:t>
      </w:r>
      <w:proofErr w:type="spellStart"/>
      <w:r w:rsidRPr="00604545">
        <w:rPr>
          <w:sz w:val="24"/>
          <w:szCs w:val="24"/>
        </w:rPr>
        <w:t>FEdEX</w:t>
      </w:r>
      <w:proofErr w:type="spellEnd"/>
      <w:r w:rsidRPr="00604545">
        <w:rPr>
          <w:sz w:val="24"/>
          <w:szCs w:val="24"/>
        </w:rPr>
        <w:t>.</w:t>
      </w:r>
    </w:p>
    <w:p w:rsidR="00B04FF2" w:rsidRPr="00604545" w:rsidRDefault="00B04FF2" w:rsidP="00B04FF2">
      <w:pPr>
        <w:rPr>
          <w:sz w:val="24"/>
          <w:szCs w:val="24"/>
        </w:rPr>
      </w:pPr>
      <w:r w:rsidRPr="00604545">
        <w:rPr>
          <w:sz w:val="24"/>
          <w:szCs w:val="24"/>
        </w:rPr>
        <w:t>The Comparative performance</w:t>
      </w:r>
      <w:r w:rsidRPr="00604545">
        <w:rPr>
          <w:sz w:val="24"/>
          <w:szCs w:val="24"/>
        </w:rPr>
        <w:t xml:space="preserve"> of UPS and Federal Expenses</w:t>
      </w:r>
    </w:p>
    <w:tbl>
      <w:tblPr>
        <w:tblStyle w:val="TableGrid"/>
        <w:tblW w:w="0" w:type="auto"/>
        <w:tblLook w:val="04A0" w:firstRow="1" w:lastRow="0" w:firstColumn="1" w:lastColumn="0" w:noHBand="0" w:noVBand="1"/>
      </w:tblPr>
      <w:tblGrid>
        <w:gridCol w:w="1146"/>
        <w:gridCol w:w="1577"/>
        <w:gridCol w:w="1221"/>
        <w:gridCol w:w="1545"/>
        <w:gridCol w:w="1194"/>
        <w:gridCol w:w="889"/>
        <w:gridCol w:w="889"/>
        <w:gridCol w:w="889"/>
      </w:tblGrid>
      <w:tr w:rsidR="00B04FF2" w:rsidRPr="00604545" w:rsidTr="00B04FF2">
        <w:tc>
          <w:tcPr>
            <w:tcW w:w="1168" w:type="dxa"/>
          </w:tcPr>
          <w:p w:rsidR="00B04FF2" w:rsidRPr="00604545" w:rsidRDefault="00B04FF2" w:rsidP="00B04FF2">
            <w:pPr>
              <w:rPr>
                <w:sz w:val="24"/>
                <w:szCs w:val="24"/>
              </w:rPr>
            </w:pPr>
            <w:r w:rsidRPr="00604545">
              <w:rPr>
                <w:sz w:val="24"/>
                <w:szCs w:val="24"/>
              </w:rPr>
              <w:t>Company</w:t>
            </w:r>
          </w:p>
        </w:tc>
        <w:tc>
          <w:tcPr>
            <w:tcW w:w="1168" w:type="dxa"/>
          </w:tcPr>
          <w:p w:rsidR="00B04FF2" w:rsidRPr="00604545" w:rsidRDefault="00B04FF2" w:rsidP="00B04FF2">
            <w:pPr>
              <w:rPr>
                <w:sz w:val="24"/>
                <w:szCs w:val="24"/>
              </w:rPr>
            </w:pPr>
            <w:r w:rsidRPr="00604545">
              <w:rPr>
                <w:sz w:val="24"/>
                <w:szCs w:val="24"/>
              </w:rPr>
              <w:t>Market capitalization, end 2014 ($ billion)</w:t>
            </w:r>
          </w:p>
        </w:tc>
        <w:tc>
          <w:tcPr>
            <w:tcW w:w="1169" w:type="dxa"/>
          </w:tcPr>
          <w:p w:rsidR="00B04FF2" w:rsidRPr="00604545" w:rsidRDefault="00B04FF2" w:rsidP="00B04FF2">
            <w:pPr>
              <w:rPr>
                <w:sz w:val="24"/>
                <w:szCs w:val="24"/>
              </w:rPr>
            </w:pPr>
            <w:r w:rsidRPr="00604545">
              <w:rPr>
                <w:sz w:val="24"/>
                <w:szCs w:val="24"/>
              </w:rPr>
              <w:t>Enterprise value, end 2014 a ($ billion)</w:t>
            </w:r>
          </w:p>
        </w:tc>
        <w:tc>
          <w:tcPr>
            <w:tcW w:w="1169" w:type="dxa"/>
          </w:tcPr>
          <w:p w:rsidR="00B04FF2" w:rsidRPr="00604545" w:rsidRDefault="00B04FF2" w:rsidP="00B04FF2">
            <w:pPr>
              <w:rPr>
                <w:sz w:val="24"/>
                <w:szCs w:val="24"/>
              </w:rPr>
            </w:pPr>
            <w:r w:rsidRPr="00604545">
              <w:rPr>
                <w:sz w:val="24"/>
                <w:szCs w:val="24"/>
              </w:rPr>
              <w:t>Return to shareholders, 2010–2014 b (%)</w:t>
            </w:r>
          </w:p>
        </w:tc>
        <w:tc>
          <w:tcPr>
            <w:tcW w:w="1169" w:type="dxa"/>
          </w:tcPr>
          <w:p w:rsidR="00B04FF2" w:rsidRPr="00604545" w:rsidRDefault="00B04FF2" w:rsidP="00B04FF2">
            <w:pPr>
              <w:rPr>
                <w:sz w:val="24"/>
                <w:szCs w:val="24"/>
              </w:rPr>
            </w:pPr>
            <w:r w:rsidRPr="00604545">
              <w:rPr>
                <w:sz w:val="24"/>
                <w:szCs w:val="24"/>
              </w:rPr>
              <w:t>Operating margin, 2010–2014 c (%)</w:t>
            </w:r>
          </w:p>
        </w:tc>
        <w:tc>
          <w:tcPr>
            <w:tcW w:w="1169" w:type="dxa"/>
          </w:tcPr>
          <w:p w:rsidR="00B04FF2" w:rsidRPr="00604545" w:rsidRDefault="00B04FF2" w:rsidP="00B04FF2">
            <w:pPr>
              <w:rPr>
                <w:sz w:val="24"/>
                <w:szCs w:val="24"/>
              </w:rPr>
            </w:pPr>
            <w:r w:rsidRPr="00604545">
              <w:rPr>
                <w:sz w:val="24"/>
                <w:szCs w:val="24"/>
              </w:rPr>
              <w:t>ROE, 2010– 2014 d (%)</w:t>
            </w:r>
          </w:p>
        </w:tc>
        <w:tc>
          <w:tcPr>
            <w:tcW w:w="1169" w:type="dxa"/>
          </w:tcPr>
          <w:p w:rsidR="00B04FF2" w:rsidRPr="00604545" w:rsidRDefault="00B04FF2" w:rsidP="00B04FF2">
            <w:pPr>
              <w:rPr>
                <w:sz w:val="24"/>
                <w:szCs w:val="24"/>
              </w:rPr>
            </w:pPr>
            <w:r w:rsidRPr="00604545">
              <w:rPr>
                <w:sz w:val="24"/>
                <w:szCs w:val="24"/>
              </w:rPr>
              <w:t>ROCE, 2010– 2014 e (%)</w:t>
            </w:r>
          </w:p>
        </w:tc>
        <w:tc>
          <w:tcPr>
            <w:tcW w:w="1169" w:type="dxa"/>
          </w:tcPr>
          <w:p w:rsidR="00B04FF2" w:rsidRPr="00604545" w:rsidRDefault="00B04FF2" w:rsidP="00B04FF2">
            <w:pPr>
              <w:rPr>
                <w:sz w:val="24"/>
                <w:szCs w:val="24"/>
              </w:rPr>
            </w:pPr>
            <w:r w:rsidRPr="00604545">
              <w:rPr>
                <w:sz w:val="24"/>
                <w:szCs w:val="24"/>
              </w:rPr>
              <w:t>ROA, 2010– 2014 f (%)</w:t>
            </w:r>
          </w:p>
        </w:tc>
      </w:tr>
      <w:tr w:rsidR="00B04FF2" w:rsidRPr="00604545" w:rsidTr="00B04FF2">
        <w:tc>
          <w:tcPr>
            <w:tcW w:w="1168" w:type="dxa"/>
          </w:tcPr>
          <w:p w:rsidR="00B04FF2" w:rsidRPr="00604545" w:rsidRDefault="00B04FF2" w:rsidP="00B04FF2">
            <w:pPr>
              <w:rPr>
                <w:sz w:val="24"/>
                <w:szCs w:val="24"/>
              </w:rPr>
            </w:pPr>
            <w:r w:rsidRPr="00604545">
              <w:rPr>
                <w:sz w:val="24"/>
                <w:szCs w:val="24"/>
              </w:rPr>
              <w:t>UPS</w:t>
            </w:r>
          </w:p>
        </w:tc>
        <w:tc>
          <w:tcPr>
            <w:tcW w:w="1168" w:type="dxa"/>
          </w:tcPr>
          <w:p w:rsidR="00B04FF2" w:rsidRPr="00604545" w:rsidRDefault="00B04FF2" w:rsidP="00B04FF2">
            <w:pPr>
              <w:rPr>
                <w:sz w:val="24"/>
                <w:szCs w:val="24"/>
              </w:rPr>
            </w:pPr>
            <w:r w:rsidRPr="00604545">
              <w:rPr>
                <w:sz w:val="24"/>
                <w:szCs w:val="24"/>
              </w:rPr>
              <w:t>96.0</w:t>
            </w:r>
          </w:p>
        </w:tc>
        <w:tc>
          <w:tcPr>
            <w:tcW w:w="1169" w:type="dxa"/>
          </w:tcPr>
          <w:p w:rsidR="00B04FF2" w:rsidRPr="00604545" w:rsidRDefault="00B04FF2" w:rsidP="00B04FF2">
            <w:pPr>
              <w:rPr>
                <w:sz w:val="24"/>
                <w:szCs w:val="24"/>
              </w:rPr>
            </w:pPr>
            <w:r w:rsidRPr="00604545">
              <w:rPr>
                <w:sz w:val="24"/>
                <w:szCs w:val="24"/>
              </w:rPr>
              <w:t>105.8</w:t>
            </w:r>
          </w:p>
        </w:tc>
        <w:tc>
          <w:tcPr>
            <w:tcW w:w="1169" w:type="dxa"/>
          </w:tcPr>
          <w:p w:rsidR="00B04FF2" w:rsidRPr="00604545" w:rsidRDefault="00B04FF2" w:rsidP="00B04FF2">
            <w:pPr>
              <w:rPr>
                <w:sz w:val="24"/>
                <w:szCs w:val="24"/>
              </w:rPr>
            </w:pPr>
            <w:r w:rsidRPr="00604545">
              <w:rPr>
                <w:sz w:val="24"/>
                <w:szCs w:val="24"/>
              </w:rPr>
              <w:t>104.3</w:t>
            </w:r>
          </w:p>
        </w:tc>
        <w:tc>
          <w:tcPr>
            <w:tcW w:w="1169" w:type="dxa"/>
          </w:tcPr>
          <w:p w:rsidR="00B04FF2" w:rsidRPr="00604545" w:rsidRDefault="00B04FF2" w:rsidP="00B04FF2">
            <w:pPr>
              <w:rPr>
                <w:sz w:val="24"/>
                <w:szCs w:val="24"/>
              </w:rPr>
            </w:pPr>
            <w:r w:rsidRPr="00604545">
              <w:rPr>
                <w:sz w:val="24"/>
                <w:szCs w:val="24"/>
              </w:rPr>
              <w:t>10.1</w:t>
            </w:r>
          </w:p>
        </w:tc>
        <w:tc>
          <w:tcPr>
            <w:tcW w:w="1169" w:type="dxa"/>
          </w:tcPr>
          <w:p w:rsidR="00B04FF2" w:rsidRPr="00604545" w:rsidRDefault="00B04FF2" w:rsidP="00B04FF2">
            <w:pPr>
              <w:rPr>
                <w:sz w:val="24"/>
                <w:szCs w:val="24"/>
              </w:rPr>
            </w:pPr>
            <w:r w:rsidRPr="00604545">
              <w:rPr>
                <w:sz w:val="24"/>
                <w:szCs w:val="24"/>
              </w:rPr>
              <w:t>58.6</w:t>
            </w:r>
          </w:p>
        </w:tc>
        <w:tc>
          <w:tcPr>
            <w:tcW w:w="1169" w:type="dxa"/>
          </w:tcPr>
          <w:p w:rsidR="00B04FF2" w:rsidRPr="00604545" w:rsidRDefault="00B04FF2" w:rsidP="00B04FF2">
            <w:pPr>
              <w:rPr>
                <w:sz w:val="24"/>
                <w:szCs w:val="24"/>
              </w:rPr>
            </w:pPr>
            <w:r w:rsidRPr="00604545">
              <w:rPr>
                <w:sz w:val="24"/>
                <w:szCs w:val="24"/>
              </w:rPr>
              <w:t>33.3</w:t>
            </w:r>
          </w:p>
        </w:tc>
        <w:tc>
          <w:tcPr>
            <w:tcW w:w="1169" w:type="dxa"/>
          </w:tcPr>
          <w:p w:rsidR="00B04FF2" w:rsidRPr="00604545" w:rsidRDefault="00B04FF2" w:rsidP="00B04FF2">
            <w:pPr>
              <w:rPr>
                <w:sz w:val="24"/>
                <w:szCs w:val="24"/>
              </w:rPr>
            </w:pPr>
            <w:r w:rsidRPr="00604545">
              <w:rPr>
                <w:sz w:val="24"/>
                <w:szCs w:val="24"/>
              </w:rPr>
              <w:t>15.3</w:t>
            </w:r>
          </w:p>
        </w:tc>
      </w:tr>
      <w:tr w:rsidR="00B04FF2" w:rsidRPr="00604545" w:rsidTr="00B04FF2">
        <w:tc>
          <w:tcPr>
            <w:tcW w:w="1168" w:type="dxa"/>
          </w:tcPr>
          <w:p w:rsidR="00B04FF2" w:rsidRPr="00604545" w:rsidRDefault="00B04FF2" w:rsidP="00B04FF2">
            <w:pPr>
              <w:rPr>
                <w:sz w:val="24"/>
                <w:szCs w:val="24"/>
              </w:rPr>
            </w:pPr>
            <w:r w:rsidRPr="00604545">
              <w:rPr>
                <w:sz w:val="24"/>
                <w:szCs w:val="24"/>
              </w:rPr>
              <w:t>Federal Expense</w:t>
            </w:r>
          </w:p>
        </w:tc>
        <w:tc>
          <w:tcPr>
            <w:tcW w:w="1168" w:type="dxa"/>
          </w:tcPr>
          <w:p w:rsidR="00B04FF2" w:rsidRPr="00604545" w:rsidRDefault="00B04FF2" w:rsidP="00B04FF2">
            <w:pPr>
              <w:rPr>
                <w:sz w:val="24"/>
                <w:szCs w:val="24"/>
              </w:rPr>
            </w:pPr>
            <w:r w:rsidRPr="00604545">
              <w:rPr>
                <w:sz w:val="24"/>
                <w:szCs w:val="24"/>
              </w:rPr>
              <w:t>48.5</w:t>
            </w:r>
          </w:p>
        </w:tc>
        <w:tc>
          <w:tcPr>
            <w:tcW w:w="1169" w:type="dxa"/>
          </w:tcPr>
          <w:p w:rsidR="00B04FF2" w:rsidRPr="00604545" w:rsidRDefault="00B04FF2" w:rsidP="00B04FF2">
            <w:pPr>
              <w:rPr>
                <w:sz w:val="24"/>
                <w:szCs w:val="24"/>
              </w:rPr>
            </w:pPr>
            <w:r w:rsidRPr="00604545">
              <w:rPr>
                <w:sz w:val="24"/>
                <w:szCs w:val="24"/>
              </w:rPr>
              <w:t>53.2</w:t>
            </w:r>
          </w:p>
        </w:tc>
        <w:tc>
          <w:tcPr>
            <w:tcW w:w="1169" w:type="dxa"/>
          </w:tcPr>
          <w:p w:rsidR="00B04FF2" w:rsidRPr="00604545" w:rsidRDefault="00B04FF2" w:rsidP="00B04FF2">
            <w:pPr>
              <w:rPr>
                <w:sz w:val="24"/>
                <w:szCs w:val="24"/>
              </w:rPr>
            </w:pPr>
            <w:r w:rsidRPr="00604545">
              <w:rPr>
                <w:sz w:val="24"/>
                <w:szCs w:val="24"/>
              </w:rPr>
              <w:t>110.7</w:t>
            </w:r>
          </w:p>
        </w:tc>
        <w:tc>
          <w:tcPr>
            <w:tcW w:w="1169" w:type="dxa"/>
          </w:tcPr>
          <w:p w:rsidR="00B04FF2" w:rsidRPr="00604545" w:rsidRDefault="00B04FF2" w:rsidP="00B04FF2">
            <w:pPr>
              <w:rPr>
                <w:sz w:val="24"/>
                <w:szCs w:val="24"/>
              </w:rPr>
            </w:pPr>
            <w:r w:rsidRPr="00604545">
              <w:rPr>
                <w:sz w:val="24"/>
                <w:szCs w:val="24"/>
              </w:rPr>
              <w:t>6.5</w:t>
            </w:r>
          </w:p>
        </w:tc>
        <w:tc>
          <w:tcPr>
            <w:tcW w:w="1169" w:type="dxa"/>
          </w:tcPr>
          <w:p w:rsidR="00B04FF2" w:rsidRPr="00604545" w:rsidRDefault="00B04FF2" w:rsidP="00B04FF2">
            <w:pPr>
              <w:rPr>
                <w:sz w:val="24"/>
                <w:szCs w:val="24"/>
              </w:rPr>
            </w:pPr>
            <w:r w:rsidRPr="00604545">
              <w:rPr>
                <w:sz w:val="24"/>
                <w:szCs w:val="24"/>
              </w:rPr>
              <w:t>11</w:t>
            </w:r>
          </w:p>
        </w:tc>
        <w:tc>
          <w:tcPr>
            <w:tcW w:w="1169" w:type="dxa"/>
          </w:tcPr>
          <w:p w:rsidR="00B04FF2" w:rsidRPr="00604545" w:rsidRDefault="00B04FF2" w:rsidP="00B04FF2">
            <w:pPr>
              <w:rPr>
                <w:sz w:val="24"/>
                <w:szCs w:val="24"/>
              </w:rPr>
            </w:pPr>
            <w:r w:rsidRPr="00604545">
              <w:rPr>
                <w:sz w:val="24"/>
                <w:szCs w:val="24"/>
              </w:rPr>
              <w:t>15.3</w:t>
            </w:r>
          </w:p>
        </w:tc>
        <w:tc>
          <w:tcPr>
            <w:tcW w:w="1169" w:type="dxa"/>
          </w:tcPr>
          <w:p w:rsidR="00B04FF2" w:rsidRPr="00604545" w:rsidRDefault="00B04FF2" w:rsidP="00B04FF2">
            <w:pPr>
              <w:rPr>
                <w:sz w:val="24"/>
                <w:szCs w:val="24"/>
              </w:rPr>
            </w:pPr>
            <w:r w:rsidRPr="00604545">
              <w:rPr>
                <w:sz w:val="24"/>
                <w:szCs w:val="24"/>
              </w:rPr>
              <w:t>5.7</w:t>
            </w:r>
          </w:p>
        </w:tc>
      </w:tr>
    </w:tbl>
    <w:p w:rsidR="00B04FF2" w:rsidRPr="00604545" w:rsidRDefault="00B04FF2" w:rsidP="00B04FF2">
      <w:pPr>
        <w:rPr>
          <w:sz w:val="24"/>
          <w:szCs w:val="24"/>
        </w:rPr>
      </w:pPr>
    </w:p>
    <w:p w:rsidR="00B04FF2" w:rsidRPr="00604545" w:rsidRDefault="00B04FF2" w:rsidP="00B04FF2">
      <w:pPr>
        <w:rPr>
          <w:sz w:val="24"/>
          <w:szCs w:val="24"/>
        </w:rPr>
      </w:pPr>
      <w:r w:rsidRPr="00604545">
        <w:rPr>
          <w:sz w:val="24"/>
          <w:szCs w:val="24"/>
        </w:rPr>
        <w:t>Yet, for all businesses, the profits earned over the life of the business enterprise value</w:t>
      </w:r>
      <w:r w:rsidRPr="00604545">
        <w:rPr>
          <w:sz w:val="24"/>
          <w:szCs w:val="24"/>
        </w:rPr>
        <w:t xml:space="preserve"> </w:t>
      </w:r>
      <w:r w:rsidRPr="00604545">
        <w:rPr>
          <w:sz w:val="24"/>
          <w:szCs w:val="24"/>
        </w:rPr>
        <w:t>are a sound indicator of a business’s success in creating value.</w:t>
      </w:r>
      <w:r w:rsidRPr="00604545">
        <w:rPr>
          <w:sz w:val="24"/>
          <w:szCs w:val="24"/>
        </w:rPr>
        <w:t xml:space="preserve"> </w:t>
      </w:r>
      <w:r w:rsidRPr="00604545">
        <w:rPr>
          <w:sz w:val="24"/>
          <w:szCs w:val="24"/>
        </w:rPr>
        <w:t>There are four key areas where our analysis of profit performance can guide strategy: first, in appraising a firm’s performance; second, in diagnosing the sources of poor performance; third, in selecting strategies on the basis of their profit prospects; and, finally, setting performance targets.</w:t>
      </w:r>
      <w:r w:rsidR="006F16EE" w:rsidRPr="00604545">
        <w:rPr>
          <w:sz w:val="24"/>
          <w:szCs w:val="24"/>
        </w:rPr>
        <w:t xml:space="preserve"> </w:t>
      </w:r>
      <w:r w:rsidR="00604545" w:rsidRPr="00604545">
        <w:rPr>
          <w:sz w:val="24"/>
          <w:szCs w:val="24"/>
        </w:rPr>
        <w:t>If our goal is to maximize profit over the lifetime of the firm, then to evaluate the performance of a firm we need to look at its stream of profit over the rest of its life.</w:t>
      </w:r>
      <w:bookmarkStart w:id="0" w:name="_GoBack"/>
      <w:bookmarkEnd w:id="0"/>
    </w:p>
    <w:p w:rsidR="006F16EE" w:rsidRPr="00604545" w:rsidRDefault="006F16EE" w:rsidP="00B04FF2">
      <w:pPr>
        <w:rPr>
          <w:sz w:val="24"/>
          <w:szCs w:val="24"/>
        </w:rPr>
      </w:pPr>
      <w:r w:rsidRPr="00604545">
        <w:rPr>
          <w:sz w:val="24"/>
          <w:szCs w:val="24"/>
        </w:rPr>
        <w:t xml:space="preserve">There would be many key benchmarks that could be set to identifying the preference in competitive environment. For example: one </w:t>
      </w:r>
      <w:r w:rsidRPr="00604545">
        <w:rPr>
          <w:sz w:val="24"/>
          <w:szCs w:val="24"/>
        </w:rPr>
        <w:t>key benchmark is cost of capital. ROCE should be compared with WACC, and ROE compared with the cost of equity capital. Table shows that, during 2010–2014, UPS earned an operating margin, ROE, ROCE, and ROA that were substantially higher than those earned by FedEx. UPS’s greater market capitalization and enterprise value reflects expectations that UPS’s superior profit performance will be sustained into the future.</w:t>
      </w:r>
    </w:p>
    <w:p w:rsidR="00B04FF2" w:rsidRPr="00604545" w:rsidRDefault="00B04FF2" w:rsidP="00B04FF2">
      <w:pPr>
        <w:rPr>
          <w:sz w:val="24"/>
          <w:szCs w:val="24"/>
        </w:rPr>
      </w:pPr>
    </w:p>
    <w:sectPr w:rsidR="00B04FF2" w:rsidRPr="00604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1668D"/>
    <w:multiLevelType w:val="multilevel"/>
    <w:tmpl w:val="D24C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7E"/>
    <w:rsid w:val="001115F9"/>
    <w:rsid w:val="001C722E"/>
    <w:rsid w:val="002A746D"/>
    <w:rsid w:val="003115A7"/>
    <w:rsid w:val="00572EED"/>
    <w:rsid w:val="00604545"/>
    <w:rsid w:val="006F16EE"/>
    <w:rsid w:val="00806352"/>
    <w:rsid w:val="00833B8F"/>
    <w:rsid w:val="00A73E7E"/>
    <w:rsid w:val="00B04FF2"/>
    <w:rsid w:val="00BE5950"/>
    <w:rsid w:val="00D17C29"/>
    <w:rsid w:val="00FE25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D409"/>
  <w15:chartTrackingRefBased/>
  <w15:docId w15:val="{217980E6-8BDD-40AC-BF1E-7EA6C3DE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3E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3E7E"/>
    <w:rPr>
      <w:b/>
      <w:bCs/>
    </w:rPr>
  </w:style>
  <w:style w:type="table" w:styleId="TableGrid">
    <w:name w:val="Table Grid"/>
    <w:basedOn w:val="TableNormal"/>
    <w:uiPriority w:val="39"/>
    <w:rsid w:val="00B04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Ansar Ali</dc:creator>
  <cp:keywords/>
  <dc:description/>
  <cp:lastModifiedBy>Ansar Ali</cp:lastModifiedBy>
  <cp:revision>1</cp:revision>
  <dcterms:created xsi:type="dcterms:W3CDTF">2019-03-13T14:32:00Z</dcterms:created>
  <dcterms:modified xsi:type="dcterms:W3CDTF">2019-03-14T17:56:00Z</dcterms:modified>
</cp:coreProperties>
</file>